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6"/>
        <w:ind w:left="40"/>
        <w:spacing w:before="0"/>
        <w:shd w:val="clear" w:color="auto" w:fill="auto"/>
        <w:rPr>
          <w:b/>
        </w:rPr>
      </w:pPr>
      <w:r>
        <w:rPr>
          <w:b/>
        </w:rPr>
        <w:t xml:space="preserve">ФОРМА ОБОСНОВАНИЯ НМЦ</w:t>
      </w:r>
      <w:r>
        <w:rPr>
          <w:b/>
        </w:rPr>
      </w:r>
      <w:r>
        <w:rPr>
          <w:b/>
        </w:rPr>
      </w:r>
    </w:p>
    <w:p>
      <w:pPr>
        <w:ind w:left="40"/>
        <w:jc w:val="center"/>
        <w:spacing w:after="642" w:line="288" w:lineRule="exact"/>
        <w:widowControl w:val="off"/>
        <w:rPr>
          <w:rFonts w:ascii="Times New Roman" w:hAnsi="Times New Roman" w:eastAsia="Times New Roman" w:cs="Times New Roman"/>
          <w:b/>
          <w:color w:val="000000"/>
          <w:lang w:eastAsia="ru-RU" w:bidi="ru-RU"/>
        </w:rPr>
      </w:pP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  <w:t xml:space="preserve">ОБОСНОВАНИЕ НАЧАЛЬНОЙ (МАКСИМАЛЬНОЙ) ЦЕНЫ ДОГОВОРА /</w:t>
      </w: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  <w:br/>
        <w:t xml:space="preserve">ЦЕНЫ ЕДИНИЦЫ ТОВАРА, РАБОТЫ, УСЛУГИ</w:t>
      </w: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</w: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</w:r>
    </w:p>
    <w:p>
      <w:pPr>
        <w:pStyle w:val="838"/>
        <w:shd w:val="clear" w:color="auto" w:fill="auto"/>
      </w:pPr>
      <w:r>
        <w:t xml:space="preserve">1. Общая информация</w:t>
      </w:r>
      <w:r/>
    </w:p>
    <w:tbl>
      <w:tblPr>
        <w:tblStyle w:val="839"/>
        <w:tblW w:w="0" w:type="auto"/>
        <w:tblLook w:val="04A0" w:firstRow="1" w:lastRow="0" w:firstColumn="1" w:lastColumn="0" w:noHBand="0" w:noVBand="1"/>
      </w:tblPr>
      <w:tblGrid>
        <w:gridCol w:w="846"/>
        <w:gridCol w:w="2410"/>
        <w:gridCol w:w="6089"/>
      </w:tblGrid>
      <w:tr>
        <w:tblPrEx/>
        <w:trPr/>
        <w:tc>
          <w:tcPr>
            <w:tcW w:w="846" w:type="dxa"/>
            <w:vAlign w:val="center"/>
            <w:textDirection w:val="lrTb"/>
            <w:noWrap w:val="false"/>
          </w:tcPr>
          <w:p>
            <w:pPr>
              <w:jc w:val="center"/>
              <w:spacing w:after="100" w:line="244" w:lineRule="exact"/>
              <w:widowControl w:val="off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 w:bidi="ru-RU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 w:bidi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 w:bidi="ru-RU"/>
              </w:rPr>
            </w:r>
          </w:p>
          <w:p>
            <w:pPr>
              <w:jc w:val="center"/>
            </w:pPr>
            <w:r>
              <w:rPr>
                <w:rFonts w:ascii="Times New Roman" w:hAnsi="Times New Roman" w:eastAsia="Courier New" w:cs="Times New Roman"/>
                <w:color w:val="000000"/>
                <w:lang w:eastAsia="ru-RU" w:bidi="ru-RU"/>
              </w:rPr>
              <w:t xml:space="preserve">п/п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2"/>
              <w:ind w:firstLine="0"/>
              <w:jc w:val="center"/>
              <w:spacing w:after="0" w:line="244" w:lineRule="exact"/>
              <w:shd w:val="clear" w:color="auto" w:fill="auto"/>
            </w:pPr>
            <w:r>
              <w:rPr>
                <w:rStyle w:val="841"/>
              </w:rPr>
              <w:t xml:space="preserve">Наименование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6089" w:type="dxa"/>
            <w:vAlign w:val="center"/>
            <w:textDirection w:val="lrTb"/>
            <w:noWrap w:val="false"/>
          </w:tcPr>
          <w:p>
            <w:pPr>
              <w:pStyle w:val="842"/>
              <w:ind w:firstLine="0"/>
              <w:jc w:val="center"/>
              <w:spacing w:after="0" w:line="244" w:lineRule="exact"/>
              <w:shd w:val="clear" w:color="auto" w:fill="auto"/>
            </w:pPr>
            <w:r>
              <w:rPr>
                <w:rStyle w:val="841"/>
              </w:rPr>
              <w:t xml:space="preserve">Информация по лоту</w:t>
            </w:r>
            <w:r/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1.1.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Наименование лота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Lucida Sans Unicode" w:cs="Times New Roman"/>
                <w:color w:val="000000" w:themeColor="text1"/>
              </w:rPr>
            </w:r>
            <w:r>
              <w:rPr>
                <w:rFonts w:ascii="Times New Roman" w:hAnsi="Times New Roman" w:eastAsia="Lucida Sans Unicode" w:cs="Times New Roman"/>
                <w:color w:val="000000" w:themeColor="text1"/>
              </w:rPr>
              <w:t xml:space="preserve">ОКПД2 43.99.90.190 Выполнение работ по ремонту зданий и сооружений Партизанской ГРЭС, г. Партизанск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bidi="ru-RU"/>
              </w:rPr>
              <w:t xml:space="preserve">1.2.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bidi="ru-RU"/>
              </w:rPr>
              <w:t xml:space="preserve">Номер лота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bidi="ru-RU"/>
              </w:rPr>
            </w:r>
            <w:r>
              <w:rPr>
                <w:rFonts w:ascii="Times New Roman" w:hAnsi="Times New Roman" w:cs="Times New Roman"/>
                <w:color w:val="000000" w:themeColor="text1"/>
                <w:lang w:bidi="ru-RU"/>
              </w:rPr>
              <w:t xml:space="preserve">11039002-РЕМ ПРОД-2026-ДГК-ПГРЭС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auto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pStyle w:val="842"/>
              <w:ind w:firstLine="0"/>
              <w:jc w:val="left"/>
              <w:spacing w:after="0" w:line="244" w:lineRule="exact"/>
              <w:shd w:val="clear" w:color="auto" w:fill="auto"/>
              <w:rPr>
                <w:rFonts w:eastAsiaTheme="minorHAnsi"/>
                <w:color w:val="000000" w:themeColor="text1"/>
                <w:sz w:val="22"/>
                <w:szCs w:val="22"/>
              </w:rPr>
            </w:pPr>
            <w:r>
              <w:rPr>
                <w:rFonts w:eastAsiaTheme="minorHAnsi"/>
                <w:color w:val="000000" w:themeColor="text1"/>
              </w:rPr>
              <w:t xml:space="preserve">1.3.</w:t>
            </w:r>
            <w:r>
              <w:rPr>
                <w:rFonts w:eastAsiaTheme="minorHAnsi"/>
                <w:color w:val="000000" w:themeColor="text1"/>
                <w:sz w:val="22"/>
                <w:szCs w:val="22"/>
              </w:rPr>
            </w:r>
            <w:r>
              <w:rPr>
                <w:rFonts w:eastAsiaTheme="minorHAnsi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2"/>
              <w:ind w:firstLine="0"/>
              <w:jc w:val="left"/>
              <w:spacing w:after="0" w:line="244" w:lineRule="exact"/>
              <w:shd w:val="clear" w:color="auto" w:fill="auto"/>
              <w:rPr>
                <w:rFonts w:eastAsiaTheme="minorHAnsi"/>
                <w:color w:val="000000" w:themeColor="text1"/>
                <w:sz w:val="22"/>
                <w:szCs w:val="22"/>
              </w:rPr>
            </w:pPr>
            <w:r>
              <w:rPr>
                <w:rFonts w:eastAsiaTheme="minorHAnsi"/>
                <w:color w:val="000000" w:themeColor="text1"/>
              </w:rPr>
              <w:t xml:space="preserve">НМЦ лота</w:t>
            </w:r>
            <w:r>
              <w:rPr>
                <w:rFonts w:eastAsiaTheme="minorHAnsi"/>
                <w:color w:val="000000" w:themeColor="text1"/>
                <w:sz w:val="22"/>
                <w:szCs w:val="22"/>
              </w:rPr>
            </w:r>
            <w:r>
              <w:rPr>
                <w:rFonts w:eastAsiaTheme="minorHAnsi"/>
                <w:color w:val="000000" w:themeColor="text1"/>
                <w:sz w:val="22"/>
                <w:szCs w:val="22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14 390 726,00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  <w:r>
              <w:rPr>
                <w:rFonts w:ascii="Times New Roman" w:hAnsi="Times New Roman" w:cs="Times New Roman"/>
                <w:color w:val="000000" w:themeColor="text1"/>
                <w:lang w:bidi="ru-RU"/>
              </w:rPr>
              <w:t xml:space="preserve">рублей без учета НДС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ligatures w14:val="none"/>
              </w:rPr>
            </w:r>
          </w:p>
        </w:tc>
      </w:tr>
    </w:tbl>
    <w:p>
      <w:pPr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2. Использованный метод (методы) расчета НМЦ / цены единицы товара, работы, услуги: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</w:r>
    </w:p>
    <w:p>
      <w:pPr>
        <w:ind w:left="440"/>
        <w:spacing w:after="60" w:line="244" w:lineRule="exact"/>
        <w:widowControl w:val="off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 w:bidi="ru-RU"/>
        </w:rPr>
        <w:t xml:space="preserve">Ресурсно-индексный метод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ind w:firstLine="440"/>
        <w:spacing w:after="0" w:line="244" w:lineRule="exact"/>
        <w:widowControl w:val="off"/>
        <w:rPr>
          <w:rFonts w:ascii="Times New Roman" w:hAnsi="Times New Roman" w:eastAsia="Times New Roman" w:cs="Times New Roman"/>
          <w:color w:val="000000" w:themeColor="text1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 w:bidi="ru-RU"/>
        </w:rPr>
        <w:t xml:space="preserve">Обосн</w:t>
      </w:r>
      <w:r>
        <w:rPr>
          <w:rFonts w:ascii="Times New Roman" w:hAnsi="Times New Roman" w:eastAsia="Times New Roman" w:cs="Times New Roman"/>
          <w:color w:val="000000" w:themeColor="text1"/>
          <w:lang w:eastAsia="ru-RU" w:bidi="ru-RU"/>
        </w:rPr>
        <w:t xml:space="preserve">ование расчета </w:t>
      </w:r>
      <w:r>
        <w:rPr>
          <w:rFonts w:ascii="Times New Roman" w:hAnsi="Times New Roman" w:eastAsia="Times New Roman" w:cs="Times New Roman"/>
          <w:color w:val="000000" w:themeColor="text1"/>
          <w:lang w:eastAsia="ru-RU" w:bidi="ru-RU"/>
        </w:rPr>
        <w:t xml:space="preserve">НМЦ</w:t>
      </w:r>
      <w:r>
        <w:rPr>
          <w:rFonts w:ascii="Times New Roman" w:hAnsi="Times New Roman" w:eastAsia="Times New Roman" w:cs="Times New Roman"/>
          <w:color w:val="000000" w:themeColor="text1"/>
          <w:lang w:eastAsia="ru-RU" w:bidi="ru-RU"/>
        </w:rPr>
        <w:t xml:space="preserve">: </w:t>
      </w:r>
      <w:bookmarkStart w:id="0" w:name="_GoBack"/>
      <w:r>
        <w:rPr>
          <w:color w:val="000000" w:themeColor="text1"/>
        </w:rPr>
      </w:r>
      <w:bookmarkEnd w:id="0"/>
      <w:r>
        <w:rPr>
          <w:rFonts w:ascii="Times New Roman" w:hAnsi="Times New Roman" w:eastAsia="Times New Roman" w:cs="Times New Roman"/>
          <w:color w:val="000000" w:themeColor="text1"/>
          <w:lang w:eastAsia="ru-RU" w:bidi="ru-RU"/>
        </w:rPr>
        <w:t xml:space="preserve">сводный сметный</w:t>
      </w:r>
      <w:r>
        <w:rPr>
          <w:rFonts w:ascii="Times New Roman" w:hAnsi="Times New Roman" w:eastAsia="Times New Roman" w:cs="Times New Roman"/>
          <w:color w:val="000000" w:themeColor="text1"/>
          <w:lang w:eastAsia="ru-RU" w:bidi="ru-RU"/>
        </w:rPr>
        <w:t xml:space="preserve"> расчет </w:t>
      </w:r>
      <w:r>
        <w:rPr>
          <w:rFonts w:ascii="Times New Roman" w:hAnsi="Times New Roman" w:eastAsia="Times New Roman" w:cs="Times New Roman"/>
          <w:color w:val="000000" w:themeColor="text1"/>
          <w:lang w:eastAsia="ru-RU" w:bidi="ru-RU"/>
        </w:rPr>
        <w:t xml:space="preserve"> (приложение</w:t>
      </w:r>
      <w:r>
        <w:rPr>
          <w:rFonts w:ascii="Times New Roman" w:hAnsi="Times New Roman" w:eastAsia="Times New Roman" w:cs="Times New Roman"/>
          <w:color w:val="000000" w:themeColor="text1"/>
          <w:lang w:eastAsia="ru-RU" w:bidi="ru-RU"/>
        </w:rPr>
        <w:t xml:space="preserve"> № 4</w:t>
      </w:r>
      <w:r>
        <w:rPr>
          <w:rFonts w:ascii="Times New Roman" w:hAnsi="Times New Roman" w:eastAsia="Times New Roman" w:cs="Times New Roman"/>
          <w:color w:val="000000" w:themeColor="text1"/>
          <w:lang w:eastAsia="ru-RU" w:bidi="ru-RU"/>
        </w:rPr>
        <w:t xml:space="preserve"> к техническим требованиям)</w:t>
      </w:r>
      <w:r>
        <w:rPr>
          <w:rFonts w:ascii="Times New Roman" w:hAnsi="Times New Roman" w:eastAsia="Times New Roman" w:cs="Times New Roman"/>
          <w:color w:val="000000" w:themeColor="text1"/>
          <w:lang w:eastAsia="ru-RU" w:bidi="ru-RU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highlight w:val="none"/>
        </w:rPr>
      </w:r>
    </w:p>
    <w:p>
      <w:pPr>
        <w:ind w:firstLine="440"/>
        <w:spacing w:after="0" w:line="244" w:lineRule="exact"/>
        <w:widowControl w:val="off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  <w:highlight w:val="none"/>
          <w:lang w:eastAsia="ru-RU" w:bidi="ru-RU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tbl>
      <w:tblPr>
        <w:tblW w:w="9870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268"/>
        <w:gridCol w:w="2126"/>
        <w:gridCol w:w="1417"/>
        <w:gridCol w:w="2216"/>
      </w:tblGrid>
      <w:tr>
        <w:tblPrEx/>
        <w:trPr>
          <w:trHeight w:val="70"/>
        </w:trPr>
        <w:tc>
          <w:tcPr>
            <w:shd w:val="clear" w:color="000000" w:fill="e7e6e6"/>
            <w:tcW w:w="1843" w:type="dxa"/>
            <w:textDirection w:val="lrTb"/>
            <w:noWrap w:val="false"/>
          </w:tcPr>
          <w:p>
            <w:pPr>
              <w:jc w:val="center"/>
              <w:keepNext/>
              <w:rPr>
                <w:rFonts w:ascii="Times New Roman" w:hAnsi="Times New Roman" w:eastAsia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lang w:eastAsia="ru-RU"/>
              </w:rPr>
              <w:t xml:space="preserve">Наименование товара/ работы/ услуги в составе лота</w:t>
            </w:r>
            <w:r>
              <w:rPr>
                <w:rFonts w:ascii="Times New Roman" w:hAnsi="Times New Roman" w:eastAsia="Times New Roman"/>
                <w:color w:val="000000" w:themeColor="text1"/>
                <w:szCs w:val="20"/>
              </w:rPr>
            </w:r>
            <w:r>
              <w:rPr>
                <w:rFonts w:ascii="Times New Roman" w:hAnsi="Times New Roman" w:eastAsia="Times New Roman"/>
                <w:color w:val="000000" w:themeColor="text1"/>
                <w:szCs w:val="20"/>
              </w:rPr>
            </w:r>
          </w:p>
        </w:tc>
        <w:tc>
          <w:tcPr>
            <w:shd w:val="clear" w:color="000000" w:fill="e7e6e6"/>
            <w:tcW w:w="2268" w:type="dxa"/>
            <w:textDirection w:val="lrTb"/>
            <w:noWrap w:val="false"/>
          </w:tcPr>
          <w:p>
            <w:pPr>
              <w:jc w:val="center"/>
              <w:keepNext/>
              <w:rPr>
                <w:rFonts w:ascii="Times New Roman" w:hAnsi="Times New Roman" w:eastAsia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lang w:eastAsia="ru-RU"/>
              </w:rPr>
              <w:t xml:space="preserve">Наименование источника ценовой информации (ИЦИ)</w:t>
            </w:r>
            <w:r>
              <w:rPr>
                <w:rFonts w:ascii="Times New Roman" w:hAnsi="Times New Roman" w:eastAsia="Times New Roman"/>
                <w:color w:val="000000" w:themeColor="text1"/>
                <w:szCs w:val="20"/>
              </w:rPr>
            </w:r>
            <w:r>
              <w:rPr>
                <w:rFonts w:ascii="Times New Roman" w:hAnsi="Times New Roman" w:eastAsia="Times New Roman"/>
                <w:color w:val="000000" w:themeColor="text1"/>
                <w:szCs w:val="20"/>
              </w:rPr>
            </w:r>
          </w:p>
        </w:tc>
        <w:tc>
          <w:tcPr>
            <w:shd w:val="clear" w:color="000000" w:fill="e7e6e6"/>
            <w:tcW w:w="2126" w:type="dxa"/>
            <w:textDirection w:val="lrTb"/>
            <w:noWrap w:val="false"/>
          </w:tcPr>
          <w:p>
            <w:pPr>
              <w:jc w:val="center"/>
              <w:keepNext/>
              <w:rPr>
                <w:rFonts w:ascii="Times New Roman" w:hAnsi="Times New Roman" w:eastAsia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lang w:eastAsia="ru-RU"/>
              </w:rPr>
              <w:t xml:space="preserve">Цена из соответствующего ИЦИ, в руб. без НДС</w:t>
            </w:r>
            <w:r>
              <w:rPr>
                <w:rFonts w:ascii="Times New Roman" w:hAnsi="Times New Roman" w:eastAsia="Times New Roman"/>
                <w:color w:val="000000" w:themeColor="text1"/>
                <w:szCs w:val="20"/>
              </w:rPr>
            </w:r>
            <w:r>
              <w:rPr>
                <w:rFonts w:ascii="Times New Roman" w:hAnsi="Times New Roman" w:eastAsia="Times New Roman"/>
                <w:color w:val="000000" w:themeColor="text1"/>
                <w:szCs w:val="20"/>
              </w:rPr>
            </w:r>
          </w:p>
        </w:tc>
        <w:tc>
          <w:tcPr>
            <w:shd w:val="clear" w:color="000000" w:fill="e7e6e6"/>
            <w:tcW w:w="1417" w:type="dxa"/>
            <w:textDirection w:val="lrTb"/>
            <w:noWrap w:val="false"/>
          </w:tcPr>
          <w:p>
            <w:pPr>
              <w:jc w:val="center"/>
              <w:keepNext/>
              <w:rPr>
                <w:rFonts w:ascii="Times New Roman" w:hAnsi="Times New Roman" w:eastAsia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lang w:eastAsia="ru-RU"/>
              </w:rPr>
              <w:t xml:space="preserve">Цена итоговая, в руб. без НДС</w:t>
            </w:r>
            <w:r>
              <w:rPr>
                <w:rFonts w:ascii="Times New Roman" w:hAnsi="Times New Roman" w:eastAsia="Times New Roman"/>
                <w:color w:val="000000" w:themeColor="text1"/>
                <w:szCs w:val="20"/>
              </w:rPr>
            </w:r>
            <w:r>
              <w:rPr>
                <w:rFonts w:ascii="Times New Roman" w:hAnsi="Times New Roman" w:eastAsia="Times New Roman"/>
                <w:color w:val="000000" w:themeColor="text1"/>
                <w:szCs w:val="20"/>
              </w:rPr>
            </w:r>
          </w:p>
        </w:tc>
        <w:tc>
          <w:tcPr>
            <w:shd w:val="clear" w:color="000000" w:fill="e7e6e6"/>
            <w:tcW w:w="2216" w:type="dxa"/>
            <w:textDirection w:val="lrTb"/>
            <w:noWrap w:val="false"/>
          </w:tcPr>
          <w:p>
            <w:pPr>
              <w:jc w:val="center"/>
              <w:keepNext/>
              <w:rPr>
                <w:rFonts w:ascii="Times New Roman" w:hAnsi="Times New Roman" w:eastAsia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lang w:eastAsia="ru-RU"/>
              </w:rPr>
              <w:t xml:space="preserve">Комментарии</w:t>
            </w:r>
            <w:r>
              <w:rPr>
                <w:rFonts w:ascii="Times New Roman" w:hAnsi="Times New Roman" w:eastAsia="Times New Roman"/>
                <w:color w:val="000000" w:themeColor="text1"/>
                <w:szCs w:val="20"/>
              </w:rPr>
            </w:r>
            <w:r>
              <w:rPr>
                <w:rFonts w:ascii="Times New Roman" w:hAnsi="Times New Roman" w:eastAsia="Times New Roman"/>
                <w:color w:val="000000" w:themeColor="text1"/>
                <w:szCs w:val="20"/>
              </w:rPr>
            </w:r>
          </w:p>
        </w:tc>
      </w:tr>
      <w:tr>
        <w:tblPrEx/>
        <w:trPr>
          <w:trHeight w:val="1934"/>
        </w:trPr>
        <w:tc>
          <w:tcPr>
            <w:tcW w:w="184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Lucida Sans Unicode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eastAsia="Lucida Sans Unicode" w:cs="Times New Roman"/>
                <w:color w:val="000000" w:themeColor="text1"/>
                <w:highlight w:val="white"/>
              </w:rPr>
              <w:t xml:space="preserve">ОКПД2 43.99.90.190 Выполнение работ по ремонту зданий и сооружений Партизанской ГРЭС, г. Партизанск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  <w:p>
            <w:pPr>
              <w:ind w:left="34"/>
              <w:spacing w:before="60" w:after="60"/>
              <w:tabs>
                <w:tab w:val="left" w:pos="317" w:leader="none"/>
              </w:tabs>
              <w:rPr>
                <w:rFonts w:ascii="Times New Roman" w:hAnsi="Times New Roman" w:eastAsia="Times New Roman"/>
                <w:bCs/>
                <w:i/>
                <w:color w:val="000000" w:themeColor="text1"/>
                <w:szCs w:val="20"/>
                <w:highlight w:val="white"/>
              </w:rPr>
            </w:pPr>
            <w:r>
              <w:rPr>
                <w:rFonts w:ascii="Times New Roman" w:hAnsi="Times New Roman" w:eastAsia="Times New Roman"/>
                <w:i/>
                <w:iCs/>
                <w:color w:val="000000" w:themeColor="text1"/>
                <w:sz w:val="20"/>
                <w:szCs w:val="20"/>
                <w:highlight w:val="white"/>
                <w:shd w:val="clear" w:color="auto" w:fill="ffffff" w:themeFill="background1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i/>
                <w:color w:val="000000" w:themeColor="text1"/>
                <w:szCs w:val="20"/>
                <w:highlight w:val="white"/>
              </w:rPr>
            </w:r>
            <w:r>
              <w:rPr>
                <w:rFonts w:ascii="Times New Roman" w:hAnsi="Times New Roman" w:eastAsia="Times New Roman"/>
                <w:bCs/>
                <w:i/>
                <w:color w:val="000000" w:themeColor="text1"/>
                <w:szCs w:val="20"/>
                <w:highlight w:val="white"/>
              </w:rPr>
            </w:r>
          </w:p>
          <w:p>
            <w:pPr>
              <w:ind w:left="34"/>
              <w:spacing w:before="60" w:after="60"/>
              <w:tabs>
                <w:tab w:val="left" w:pos="317" w:leader="none"/>
              </w:tabs>
              <w:rPr>
                <w:rFonts w:ascii="Times New Roman" w:hAnsi="Times New Roman" w:eastAsia="Times New Roman"/>
                <w:bCs/>
                <w:color w:val="000000" w:themeColor="text1"/>
                <w:szCs w:val="20"/>
                <w:highlight w:val="white"/>
              </w:rPr>
            </w:pPr>
            <w:r>
              <w:rPr>
                <w:rFonts w:ascii="Times New Roman" w:hAnsi="Times New Roman" w:eastAsia="Times New Roman"/>
                <w:iCs/>
                <w:color w:val="000000" w:themeColor="text1"/>
                <w:sz w:val="20"/>
                <w:szCs w:val="20"/>
                <w:highlight w:val="white"/>
                <w:shd w:val="clear" w:color="auto" w:fill="ffffff" w:themeFill="background1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 w:themeColor="text1"/>
                <w:szCs w:val="20"/>
                <w:highlight w:val="white"/>
              </w:rPr>
            </w:r>
            <w:r>
              <w:rPr>
                <w:rFonts w:ascii="Times New Roman" w:hAnsi="Times New Roman" w:eastAsia="Times New Roman"/>
                <w:bCs/>
                <w:color w:val="000000" w:themeColor="text1"/>
                <w:szCs w:val="20"/>
                <w:highlight w:val="white"/>
              </w:rPr>
            </w:r>
          </w:p>
        </w:tc>
        <w:tc>
          <w:tcPr>
            <w:shd w:val="clear" w:color="ffffff" w:fill="ffffff"/>
            <w:tcW w:w="2268" w:type="dxa"/>
            <w:textDirection w:val="lrTb"/>
            <w:noWrap w:val="false"/>
          </w:tcPr>
          <w:p>
            <w:pPr>
              <w:spacing w:before="60" w:after="60"/>
              <w:tabs>
                <w:tab w:val="left" w:pos="317" w:leader="none"/>
              </w:tabs>
              <w:rPr>
                <w:rFonts w:ascii="Times New Roman" w:hAnsi="Times New Roman" w:eastAsia="Times New Roman"/>
                <w:bCs/>
                <w:color w:val="000000" w:themeColor="text1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  <w:lang w:eastAsia="ru-RU" w:bidi="ru-RU"/>
              </w:rPr>
              <w:t xml:space="preserve">Сводный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  <w:lang w:eastAsia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  <w:lang w:eastAsia="ru-RU" w:bidi="ru-RU"/>
              </w:rPr>
              <w:t xml:space="preserve">сметный расчет </w:t>
            </w:r>
            <w:r>
              <w:rPr>
                <w:rFonts w:ascii="Times New Roman" w:hAnsi="Times New Roman" w:eastAsia="Times New Roman"/>
                <w:bCs/>
                <w:color w:val="000000" w:themeColor="text1"/>
                <w:szCs w:val="20"/>
                <w:highlight w:val="white"/>
              </w:rPr>
            </w:r>
            <w:r>
              <w:rPr>
                <w:rFonts w:ascii="Times New Roman" w:hAnsi="Times New Roman" w:eastAsia="Times New Roman"/>
                <w:bCs/>
                <w:color w:val="000000" w:themeColor="text1"/>
                <w:szCs w:val="20"/>
                <w:highlight w:val="white"/>
              </w:rPr>
            </w:r>
          </w:p>
        </w:tc>
        <w:tc>
          <w:tcPr>
            <w:shd w:val="clear" w:color="ffffff" w:fill="ffffff" w:themeFill="background1"/>
            <w:tcW w:w="21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14 390 726,00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ligatures w14:val="none"/>
              </w:rPr>
            </w:r>
          </w:p>
          <w:p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r>
          </w:p>
          <w:p>
            <w:pPr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</w:r>
            <w:r>
              <w:rPr>
                <w:bCs/>
                <w:color w:val="000000" w:themeColor="text1"/>
                <w:sz w:val="20"/>
                <w:szCs w:val="20"/>
              </w:rPr>
            </w:r>
            <w:r>
              <w:rPr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ffffff" w:fill="ffffff"/>
            <w:tcW w:w="141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14 390 726,00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14:ligatures w14:val="none"/>
              </w:rPr>
            </w:r>
          </w:p>
          <w:p>
            <w:pPr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</w:r>
            <w:r>
              <w:rPr>
                <w:bCs/>
                <w:color w:val="000000" w:themeColor="text1"/>
                <w:sz w:val="20"/>
                <w:szCs w:val="20"/>
              </w:rPr>
            </w:r>
            <w:r>
              <w:rPr>
                <w:bCs/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2216" w:type="dxa"/>
            <w:vMerge w:val="restart"/>
            <w:textDirection w:val="lrTb"/>
            <w:noWrap w:val="false"/>
          </w:tcPr>
          <w:p>
            <w:pPr>
              <w:spacing w:before="60" w:after="60"/>
              <w:rPr>
                <w:bCs/>
                <w:color w:val="000000" w:themeColor="text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</w:rPr>
              <w:t xml:space="preserve">  </w:t>
            </w:r>
            <w:r>
              <w:rPr>
                <w:bCs/>
                <w:color w:val="000000" w:themeColor="text1"/>
              </w:rPr>
            </w:r>
            <w:r>
              <w:rPr>
                <w:bCs/>
                <w:color w:val="000000" w:themeColor="text1"/>
              </w:rPr>
            </w:r>
          </w:p>
        </w:tc>
      </w:tr>
    </w:tbl>
    <w:p>
      <w:pPr>
        <w:ind w:left="440"/>
        <w:spacing w:after="0" w:line="244" w:lineRule="exact"/>
        <w:widowControl w:val="off"/>
        <w:rPr>
          <w:rFonts w:ascii="Times New Roman" w:hAnsi="Times New Roman" w:eastAsia="Times New Roman" w:cs="Times New Roman"/>
          <w:color w:val="000000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lang w:eastAsia="ru-RU" w:bidi="ru-RU"/>
        </w:rPr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</w:r>
    </w:p>
    <w:p>
      <w:pPr>
        <w:ind w:left="440"/>
        <w:spacing w:after="0" w:line="244" w:lineRule="exact"/>
        <w:widowControl w:val="off"/>
        <w:rPr>
          <w:rFonts w:ascii="Times New Roman" w:hAnsi="Times New Roman" w:eastAsia="Times New Roman" w:cs="Times New Roman"/>
          <w:color w:val="000000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lang w:eastAsia="ru-RU" w:bidi="ru-RU"/>
        </w:rPr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</w:r>
    </w:p>
    <w:p>
      <w:pPr>
        <w:jc w:val="both"/>
        <w:tabs>
          <w:tab w:val="left" w:pos="7797" w:leader="none"/>
        </w:tabs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Инженер 1 кат. ОППР СП </w:t>
      </w:r>
      <w:r>
        <w:rPr>
          <w:rFonts w:ascii="Times New Roman" w:hAnsi="Times New Roman" w:eastAsia="Calibri"/>
        </w:rPr>
        <w:t xml:space="preserve">ПГРЭС</w:t>
      </w:r>
      <w:r>
        <w:rPr>
          <w:rFonts w:ascii="Times New Roman" w:hAnsi="Times New Roman" w:eastAsia="Calibri"/>
        </w:rPr>
        <w:tab/>
        <w:t xml:space="preserve">С.В. Степанова</w:t>
      </w:r>
      <w:r>
        <w:rPr>
          <w:rFonts w:ascii="Times New Roman" w:hAnsi="Times New Roman" w:eastAsia="Calibri"/>
        </w:rPr>
      </w:r>
      <w:r>
        <w:rPr>
          <w:rFonts w:ascii="Times New Roman" w:hAnsi="Times New Roman" w:eastAsia="Calibri"/>
        </w:rPr>
      </w:r>
    </w:p>
    <w:p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ucida Sans Unicode">
    <w:panose1 w:val="020B0603030804020204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character" w:styleId="835" w:customStyle="1">
    <w:name w:val="Основной текст (14)_"/>
    <w:basedOn w:val="832"/>
    <w:link w:val="836"/>
    <w:rPr>
      <w:rFonts w:ascii="Times New Roman" w:hAnsi="Times New Roman" w:eastAsia="Times New Roman" w:cs="Times New Roman"/>
      <w:shd w:val="clear" w:color="auto" w:fill="ffffff"/>
    </w:rPr>
  </w:style>
  <w:style w:type="paragraph" w:styleId="836" w:customStyle="1">
    <w:name w:val="Основной текст (14)"/>
    <w:basedOn w:val="831"/>
    <w:link w:val="835"/>
    <w:pPr>
      <w:jc w:val="center"/>
      <w:spacing w:before="400" w:after="700" w:line="244" w:lineRule="exact"/>
      <w:shd w:val="clear" w:color="auto" w:fill="ffffff"/>
      <w:widowControl w:val="off"/>
    </w:pPr>
    <w:rPr>
      <w:rFonts w:ascii="Times New Roman" w:hAnsi="Times New Roman" w:eastAsia="Times New Roman" w:cs="Times New Roman"/>
    </w:rPr>
  </w:style>
  <w:style w:type="character" w:styleId="837" w:customStyle="1">
    <w:name w:val="Подпись к таблице (2)_"/>
    <w:basedOn w:val="832"/>
    <w:link w:val="838"/>
    <w:rPr>
      <w:rFonts w:ascii="Times New Roman" w:hAnsi="Times New Roman" w:eastAsia="Times New Roman" w:cs="Times New Roman"/>
      <w:b/>
      <w:bCs/>
      <w:sz w:val="26"/>
      <w:szCs w:val="26"/>
      <w:shd w:val="clear" w:color="auto" w:fill="ffffff"/>
    </w:rPr>
  </w:style>
  <w:style w:type="paragraph" w:styleId="838" w:customStyle="1">
    <w:name w:val="Подпись к таблице (2)"/>
    <w:basedOn w:val="831"/>
    <w:link w:val="837"/>
    <w:pPr>
      <w:spacing w:after="0" w:line="288" w:lineRule="exact"/>
      <w:shd w:val="clear" w:color="auto" w:fill="ffffff"/>
      <w:widowControl w:val="off"/>
    </w:pPr>
    <w:rPr>
      <w:rFonts w:ascii="Times New Roman" w:hAnsi="Times New Roman" w:eastAsia="Times New Roman" w:cs="Times New Roman"/>
      <w:b/>
      <w:bCs/>
      <w:sz w:val="26"/>
      <w:szCs w:val="26"/>
    </w:rPr>
  </w:style>
  <w:style w:type="table" w:styleId="839">
    <w:name w:val="Table Grid"/>
    <w:basedOn w:val="83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40" w:customStyle="1">
    <w:name w:val="Основной текст (2)_"/>
    <w:basedOn w:val="832"/>
    <w:link w:val="842"/>
    <w:rPr>
      <w:rFonts w:ascii="Times New Roman" w:hAnsi="Times New Roman" w:eastAsia="Times New Roman" w:cs="Times New Roman"/>
      <w:sz w:val="26"/>
      <w:szCs w:val="26"/>
      <w:shd w:val="clear" w:color="auto" w:fill="ffffff"/>
    </w:rPr>
  </w:style>
  <w:style w:type="character" w:styleId="841" w:customStyle="1">
    <w:name w:val="Основной текст (2) + 11 pt"/>
    <w:basedOn w:val="840"/>
    <w:rPr>
      <w:rFonts w:ascii="Times New Roman" w:hAnsi="Times New Roman" w:eastAsia="Times New Roman" w:cs="Times New Roman"/>
      <w:color w:val="000000"/>
      <w:spacing w:val="0"/>
      <w:position w:val="0"/>
      <w:sz w:val="22"/>
      <w:szCs w:val="22"/>
      <w:shd w:val="clear" w:color="auto" w:fill="ffffff"/>
      <w:lang w:val="ru-RU" w:eastAsia="ru-RU" w:bidi="ru-RU"/>
    </w:rPr>
  </w:style>
  <w:style w:type="paragraph" w:styleId="842" w:customStyle="1">
    <w:name w:val="Основной текст (2)"/>
    <w:basedOn w:val="831"/>
    <w:link w:val="840"/>
    <w:pPr>
      <w:ind w:hanging="1740"/>
      <w:jc w:val="both"/>
      <w:spacing w:after="320" w:line="321" w:lineRule="exact"/>
      <w:shd w:val="clear" w:color="auto" w:fill="ffffff"/>
      <w:widowControl w:val="off"/>
    </w:pPr>
    <w:rPr>
      <w:rFonts w:ascii="Times New Roman" w:hAnsi="Times New Roman" w:eastAsia="Times New Roman" w:cs="Times New Roman"/>
      <w:sz w:val="26"/>
      <w:szCs w:val="2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DVGK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Елена Витальевна</dc:creator>
  <cp:keywords/>
  <dc:description/>
  <cp:lastModifiedBy>stepanova_sv</cp:lastModifiedBy>
  <cp:revision>48</cp:revision>
  <dcterms:created xsi:type="dcterms:W3CDTF">2021-07-07T07:07:00Z</dcterms:created>
  <dcterms:modified xsi:type="dcterms:W3CDTF">2025-11-26T01:20:03Z</dcterms:modified>
</cp:coreProperties>
</file>